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E1" w:rsidRDefault="00E20D56" w:rsidP="00E20D56">
      <w:pPr>
        <w:spacing w:before="200" w:line="360" w:lineRule="auto"/>
        <w:jc w:val="center"/>
        <w:rPr>
          <w:rFonts w:ascii="Arial" w:hAnsi="Arial" w:cs="Arial"/>
          <w:color w:val="424242"/>
          <w:sz w:val="20"/>
          <w:szCs w:val="20"/>
        </w:rPr>
      </w:pPr>
      <w:r>
        <w:rPr>
          <w:rFonts w:ascii="Arial" w:hAnsi="Arial" w:cs="Arial"/>
          <w:noProof/>
          <w:color w:val="424242"/>
          <w:sz w:val="20"/>
          <w:szCs w:val="20"/>
        </w:rPr>
        <w:drawing>
          <wp:inline distT="0" distB="0" distL="0" distR="0">
            <wp:extent cx="425196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FE1" w:rsidRDefault="00865FE1" w:rsidP="00865FE1">
      <w:pPr>
        <w:spacing w:before="480" w:after="280"/>
        <w:contextualSpacing/>
        <w:rPr>
          <w:rFonts w:ascii="Oswald" w:hAnsi="Oswald"/>
          <w:color w:val="424242"/>
          <w:sz w:val="28"/>
          <w:szCs w:val="28"/>
        </w:rPr>
      </w:pPr>
      <w:r>
        <w:rPr>
          <w:rFonts w:ascii="Oswald" w:hAnsi="Oswald"/>
          <w:color w:val="424242"/>
          <w:sz w:val="28"/>
          <w:szCs w:val="28"/>
        </w:rPr>
        <w:t xml:space="preserve">PUBLISHER NAME: </w:t>
      </w:r>
    </w:p>
    <w:tbl>
      <w:tblPr>
        <w:tblW w:w="829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865FE1" w:rsidTr="00865FE1">
        <w:trPr>
          <w:trHeight w:val="5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5FE1" w:rsidRDefault="00865FE1">
            <w:pPr>
              <w:jc w:val="center"/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TopUSAJobs.com, Inc.</w:t>
            </w:r>
          </w:p>
        </w:tc>
      </w:tr>
    </w:tbl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spacing w:before="480"/>
        <w:contextualSpacing/>
        <w:rPr>
          <w:rFonts w:ascii="Oswald" w:hAnsi="Oswald"/>
          <w:color w:val="424242"/>
          <w:sz w:val="28"/>
          <w:szCs w:val="28"/>
        </w:rPr>
      </w:pPr>
      <w:bookmarkStart w:id="1" w:name="_40mlfguty7ok"/>
      <w:bookmarkEnd w:id="1"/>
      <w:r>
        <w:rPr>
          <w:rFonts w:ascii="Oswald" w:hAnsi="Oswald"/>
          <w:color w:val="424242"/>
          <w:sz w:val="28"/>
          <w:szCs w:val="28"/>
        </w:rPr>
        <w:t>HUMAN vs. NON-HUMAN</w:t>
      </w: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color w:val="424242"/>
          <w:sz w:val="20"/>
          <w:szCs w:val="20"/>
        </w:rPr>
        <w:t>Do you differentiate human vs. non-human advertising activity?</w:t>
      </w:r>
    </w:p>
    <w:p w:rsidR="00865FE1" w:rsidRDefault="00865FE1" w:rsidP="00865FE1">
      <w:pPr>
        <w:spacing w:before="12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1"/>
        </w:numPr>
        <w:spacing w:before="200" w:after="240" w:line="360" w:lineRule="auto"/>
        <w:ind w:hanging="360"/>
        <w:contextualSpacing/>
        <w:rPr>
          <w:rFonts w:ascii="Source Code Pro" w:hAnsi="Source Code Pro"/>
          <w:b/>
          <w:bCs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 xml:space="preserve">User Agent </w:t>
      </w:r>
      <w:r>
        <w:rPr>
          <w:rFonts w:ascii="Source Code Pro" w:hAnsi="Source Code Pro"/>
          <w:color w:val="424242"/>
          <w:sz w:val="20"/>
          <w:szCs w:val="20"/>
        </w:rPr>
        <w:t>- do you analyze user agent contents?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br/>
        <w:t>Parsing user agent strings for declarative terms such as ‘bot’, ‘crawler’, ‘spider’, etc. and indicative terms such as ‘</w:t>
      </w:r>
      <w:proofErr w:type="spellStart"/>
      <w:r>
        <w:rPr>
          <w:rFonts w:ascii="Source Code Pro" w:hAnsi="Source Code Pro"/>
          <w:color w:val="424242"/>
          <w:sz w:val="20"/>
          <w:szCs w:val="20"/>
        </w:rPr>
        <w:t>phantomjs</w:t>
      </w:r>
      <w:proofErr w:type="spellEnd"/>
      <w:r>
        <w:rPr>
          <w:rFonts w:ascii="Source Code Pro" w:hAnsi="Source Code Pro"/>
          <w:color w:val="424242"/>
          <w:sz w:val="20"/>
          <w:szCs w:val="20"/>
        </w:rPr>
        <w:t>’ are useful in the identification of traffic that is not from humans.</w:t>
      </w: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 No, we do not bill for invalidated clicks)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 xml:space="preserve">Viewable on Reports </w:t>
            </w:r>
            <w:proofErr w:type="gramStart"/>
            <w:r>
              <w:rPr>
                <w:rFonts w:ascii="Source Code Pro" w:hAnsi="Source Code Pro"/>
                <w:color w:val="4A86E8"/>
                <w:sz w:val="20"/>
                <w:szCs w:val="20"/>
              </w:rPr>
              <w:t>( N</w:t>
            </w:r>
            <w:proofErr w:type="gramEnd"/>
            <w:r>
              <w:rPr>
                <w:rFonts w:ascii="Source Code Pro" w:hAnsi="Source Code Pro"/>
                <w:color w:val="4A86E8"/>
                <w:sz w:val="20"/>
                <w:szCs w:val="20"/>
              </w:rPr>
              <w:t xml:space="preserve">/Aa). </w:t>
            </w:r>
          </w:p>
        </w:tc>
      </w:tr>
    </w:tbl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1"/>
        </w:numPr>
        <w:spacing w:before="200" w:after="24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IP Address Filters</w:t>
      </w:r>
      <w:r>
        <w:rPr>
          <w:rFonts w:ascii="Source Code Pro" w:hAnsi="Source Code Pro"/>
          <w:color w:val="424242"/>
          <w:sz w:val="20"/>
          <w:szCs w:val="20"/>
        </w:rPr>
        <w:t xml:space="preserve"> - Do you employ manual or automated traffic filtering based on the number of times that individual IP addresses drive advertising actions?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br/>
        <w:t xml:space="preserve">Filtering IPs that execute 100 clicks without any conversions would indicate a likelihood that the IP is not acting like a human. </w:t>
      </w: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A86E8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 xml:space="preserve">Billable (No, we do not bill for invalidated clicks 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1"/>
        </w:numPr>
        <w:spacing w:before="200" w:after="24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IP Hosts</w:t>
      </w:r>
      <w:r>
        <w:rPr>
          <w:rFonts w:ascii="Source Code Pro" w:hAnsi="Source Code Pro"/>
          <w:color w:val="424242"/>
          <w:sz w:val="20"/>
          <w:szCs w:val="20"/>
        </w:rPr>
        <w:t xml:space="preserve"> - Do you employ manual or automated filtering based on characteristics of the hosting service provider?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lastRenderedPageBreak/>
        <w:br/>
        <w:t xml:space="preserve">Certain hosts have low likelihood of being used by people who are interested in particular job advertisements. Examples include Amazon AWS, Digital Ocean, Cloud Sigma, etc. </w:t>
      </w: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A86E8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(No, we do not bill for invalidated clicks)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1"/>
        </w:numPr>
        <w:spacing w:before="200" w:after="24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IP Geolocation</w:t>
      </w:r>
      <w:r>
        <w:rPr>
          <w:rFonts w:ascii="Source Code Pro" w:hAnsi="Source Code Pro"/>
          <w:color w:val="424242"/>
          <w:sz w:val="20"/>
          <w:szCs w:val="20"/>
        </w:rPr>
        <w:t xml:space="preserve"> - Do you employ manual or automated filtering based the IP proximity of repeated actions?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br/>
        <w:t>Sophisticated non-human activity can involve the use of IP Proxies that individually do not signal potential non-human activity, but when looked at as a group of actions from a single location, a more indicative pattern emerges.</w:t>
      </w: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A86E8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(No, we do not bill for invalidated clicks )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1"/>
        </w:numPr>
        <w:spacing w:before="200" w:after="24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Explicit Validation</w:t>
      </w:r>
      <w:r>
        <w:rPr>
          <w:rFonts w:ascii="Source Code Pro" w:hAnsi="Source Code Pro"/>
          <w:color w:val="424242"/>
          <w:sz w:val="20"/>
          <w:szCs w:val="20"/>
        </w:rPr>
        <w:t xml:space="preserve"> - Do you employ </w:t>
      </w:r>
      <w:proofErr w:type="spellStart"/>
      <w:r>
        <w:rPr>
          <w:rFonts w:ascii="Source Code Pro" w:hAnsi="Source Code Pro"/>
          <w:color w:val="424242"/>
          <w:sz w:val="20"/>
          <w:szCs w:val="20"/>
        </w:rPr>
        <w:t>reCAPTCHA</w:t>
      </w:r>
      <w:proofErr w:type="spellEnd"/>
      <w:r>
        <w:rPr>
          <w:rFonts w:ascii="Source Code Pro" w:hAnsi="Source Code Pro"/>
          <w:color w:val="424242"/>
          <w:sz w:val="20"/>
          <w:szCs w:val="20"/>
        </w:rPr>
        <w:t xml:space="preserve"> or other automated validation solutions such as mouse movement to confirm human activity?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br/>
      </w:r>
      <w:hyperlink r:id="rId6" w:history="1">
        <w:r>
          <w:rPr>
            <w:rStyle w:val="Hyperlink"/>
            <w:rFonts w:ascii="Source Code Pro" w:hAnsi="Source Code Pro"/>
            <w:color w:val="1155CC"/>
            <w:sz w:val="20"/>
            <w:szCs w:val="20"/>
          </w:rPr>
          <w:t xml:space="preserve">Google </w:t>
        </w:r>
        <w:proofErr w:type="spellStart"/>
        <w:r>
          <w:rPr>
            <w:rStyle w:val="Hyperlink"/>
            <w:rFonts w:ascii="Source Code Pro" w:hAnsi="Source Code Pro"/>
            <w:color w:val="1155CC"/>
            <w:sz w:val="20"/>
            <w:szCs w:val="20"/>
          </w:rPr>
          <w:t>reCAPTCHA</w:t>
        </w:r>
        <w:proofErr w:type="spellEnd"/>
      </w:hyperlink>
      <w:r>
        <w:rPr>
          <w:rFonts w:ascii="Source Code Pro" w:hAnsi="Source Code Pro"/>
          <w:color w:val="424242"/>
          <w:sz w:val="20"/>
          <w:szCs w:val="20"/>
        </w:rPr>
        <w:br/>
      </w:r>
      <w:hyperlink r:id="rId7" w:history="1">
        <w:r>
          <w:rPr>
            <w:rStyle w:val="Hyperlink"/>
            <w:rFonts w:ascii="Source Code Pro" w:hAnsi="Source Code Pro"/>
            <w:color w:val="1155CC"/>
            <w:sz w:val="20"/>
            <w:szCs w:val="20"/>
          </w:rPr>
          <w:t>Wikipedia</w:t>
        </w:r>
      </w:hyperlink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Not yet, but planning to use it in the near future for specific areas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 N/A):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480"/>
        <w:contextualSpacing/>
        <w:rPr>
          <w:rFonts w:ascii="Oswald" w:hAnsi="Oswald"/>
          <w:color w:val="424242"/>
          <w:sz w:val="28"/>
          <w:szCs w:val="28"/>
        </w:rPr>
      </w:pPr>
      <w:bookmarkStart w:id="2" w:name="_gm2vschbtlnz"/>
      <w:bookmarkEnd w:id="2"/>
      <w:r>
        <w:rPr>
          <w:rFonts w:ascii="Oswald" w:hAnsi="Oswald"/>
          <w:color w:val="424242"/>
          <w:sz w:val="28"/>
          <w:szCs w:val="28"/>
        </w:rPr>
        <w:t>GEOGRAPHY</w:t>
      </w: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color w:val="424242"/>
          <w:sz w:val="20"/>
          <w:szCs w:val="20"/>
        </w:rPr>
        <w:t>How do you distinguish traffic by geographic proximity?</w:t>
      </w:r>
    </w:p>
    <w:p w:rsidR="00865FE1" w:rsidRDefault="00865FE1" w:rsidP="00865FE1">
      <w:pPr>
        <w:spacing w:before="12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2"/>
        </w:numPr>
        <w:spacing w:before="20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Location Relevance</w:t>
      </w:r>
      <w:r>
        <w:rPr>
          <w:rFonts w:ascii="Source Code Pro" w:hAnsi="Source Code Pro"/>
          <w:color w:val="424242"/>
          <w:sz w:val="20"/>
          <w:szCs w:val="20"/>
        </w:rPr>
        <w:t xml:space="preserve"> - do you employ detection practices to determine geographic relevance?</w:t>
      </w:r>
    </w:p>
    <w:p w:rsidR="00865FE1" w:rsidRDefault="00865FE1" w:rsidP="00865FE1">
      <w:pPr>
        <w:spacing w:before="200" w:after="240" w:line="360" w:lineRule="auto"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color w:val="424242"/>
          <w:sz w:val="20"/>
          <w:szCs w:val="20"/>
        </w:rPr>
        <w:t xml:space="preserve">The physical location of the user viewing and taking action on the ad makes a difference. For example, is the user clicking on a U.S. job listing from Russia or known to reside in another location (distant from the job posting location) based on profile/resume info? </w:t>
      </w: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lastRenderedPageBreak/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A86E8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(No, we do not bill for invalidated clicks)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480"/>
        <w:contextualSpacing/>
        <w:rPr>
          <w:rFonts w:ascii="Oswald" w:hAnsi="Oswald"/>
          <w:color w:val="424242"/>
          <w:sz w:val="28"/>
          <w:szCs w:val="28"/>
        </w:rPr>
      </w:pPr>
      <w:bookmarkStart w:id="3" w:name="_55vsku5d3uvx"/>
      <w:bookmarkEnd w:id="3"/>
      <w:r>
        <w:rPr>
          <w:rFonts w:ascii="Oswald" w:hAnsi="Oswald"/>
          <w:color w:val="424242"/>
          <w:sz w:val="28"/>
          <w:szCs w:val="28"/>
        </w:rPr>
        <w:t>DUPLICATION &amp; FREQUENCY</w:t>
      </w: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color w:val="424242"/>
          <w:sz w:val="20"/>
          <w:szCs w:val="20"/>
        </w:rPr>
        <w:t>How do you distinguish traffic by frequency and duplicity?</w:t>
      </w:r>
    </w:p>
    <w:p w:rsidR="00865FE1" w:rsidRDefault="00865FE1" w:rsidP="00865FE1">
      <w:pPr>
        <w:spacing w:before="12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numPr>
          <w:ilvl w:val="0"/>
          <w:numId w:val="3"/>
        </w:numPr>
        <w:spacing w:before="200" w:line="360" w:lineRule="auto"/>
        <w:ind w:hanging="360"/>
        <w:contextualSpacing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b/>
          <w:bCs/>
          <w:color w:val="424242"/>
          <w:sz w:val="20"/>
          <w:szCs w:val="20"/>
        </w:rPr>
        <w:t>Duplicity / Frequency</w:t>
      </w:r>
      <w:r>
        <w:rPr>
          <w:rFonts w:ascii="Source Code Pro" w:hAnsi="Source Code Pro"/>
          <w:color w:val="424242"/>
          <w:sz w:val="20"/>
          <w:szCs w:val="20"/>
        </w:rPr>
        <w:t xml:space="preserve"> - do you distinguish traffic by the number of times a user interacts with an advertisement and/or how much time elapses between interactions?</w:t>
      </w: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  <w:r>
        <w:rPr>
          <w:rFonts w:ascii="Source Code Pro" w:hAnsi="Source Code Pro"/>
          <w:color w:val="424242"/>
          <w:sz w:val="20"/>
          <w:szCs w:val="20"/>
        </w:rPr>
        <w:t xml:space="preserve">It’s important to measure the number of times that a single user interacts with an ad.  For example, if the same user clicks on the same job 10 times. </w:t>
      </w:r>
      <w:proofErr w:type="gramStart"/>
      <w:r>
        <w:rPr>
          <w:rFonts w:ascii="Source Code Pro" w:hAnsi="Source Code Pro"/>
          <w:color w:val="424242"/>
          <w:sz w:val="20"/>
          <w:szCs w:val="20"/>
        </w:rPr>
        <w:t>or</w:t>
      </w:r>
      <w:proofErr w:type="gramEnd"/>
      <w:r>
        <w:rPr>
          <w:rFonts w:ascii="Source Code Pro" w:hAnsi="Source Code Pro"/>
          <w:color w:val="424242"/>
          <w:sz w:val="20"/>
          <w:szCs w:val="20"/>
        </w:rPr>
        <w:t xml:space="preserve"> if a single user interacts with 10,000 ads, it’s unlikely that that is legitimate job seeking activity.</w:t>
      </w:r>
      <w:r>
        <w:rPr>
          <w:rFonts w:ascii="Source Code Pro" w:hAnsi="Source Code Pro"/>
          <w:color w:val="424242"/>
          <w:sz w:val="20"/>
          <w:szCs w:val="20"/>
        </w:rPr>
        <w:br/>
      </w:r>
      <w:r>
        <w:rPr>
          <w:rFonts w:ascii="Source Code Pro" w:hAnsi="Source Code Pro"/>
          <w:color w:val="424242"/>
          <w:sz w:val="20"/>
          <w:szCs w:val="20"/>
        </w:rPr>
        <w:br/>
        <w:t>It’s also important to measure the time span between ad interactions.  Is it different if a user clicks on the same job 5 times in a minute compared with once per week over the span of 5 weeks? What if a user clicks on the same ad twice in 2 seconds?</w:t>
      </w: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tbl>
      <w:tblPr>
        <w:tblW w:w="864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5FE1" w:rsidTr="00865FE1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Yes we employ this method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</w:p>
          <w:p w:rsidR="00865FE1" w:rsidRDefault="00865FE1">
            <w:pPr>
              <w:rPr>
                <w:rFonts w:ascii="Source Code Pro" w:hAnsi="Source Code Pro"/>
                <w:color w:val="4A86E8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Billable (No, we do not bill for invalidated clicks )</w:t>
            </w:r>
          </w:p>
          <w:p w:rsidR="00865FE1" w:rsidRDefault="00865FE1">
            <w:pPr>
              <w:rPr>
                <w:rFonts w:ascii="Source Code Pro" w:hAnsi="Source Code Pro"/>
                <w:color w:val="424242"/>
                <w:sz w:val="20"/>
                <w:szCs w:val="20"/>
              </w:rPr>
            </w:pPr>
            <w:r>
              <w:rPr>
                <w:rFonts w:ascii="Source Code Pro" w:hAnsi="Source Code Pro"/>
                <w:color w:val="4A86E8"/>
                <w:sz w:val="20"/>
                <w:szCs w:val="20"/>
              </w:rPr>
              <w:t>Viewable on Reports (N/A):</w:t>
            </w:r>
          </w:p>
        </w:tc>
      </w:tr>
    </w:tbl>
    <w:p w:rsidR="00865FE1" w:rsidRDefault="00865FE1" w:rsidP="00865FE1">
      <w:pPr>
        <w:spacing w:before="320"/>
        <w:contextualSpacing/>
        <w:rPr>
          <w:rFonts w:ascii="Source Code Pro" w:hAnsi="Source Code Pro"/>
          <w:b/>
          <w:bCs/>
          <w:color w:val="5B9BD5"/>
          <w:sz w:val="28"/>
          <w:szCs w:val="28"/>
        </w:rPr>
      </w:pPr>
      <w:bookmarkStart w:id="4" w:name="_kakascqhipdl"/>
      <w:bookmarkEnd w:id="4"/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865FE1" w:rsidRDefault="00865FE1" w:rsidP="00865FE1">
      <w:pPr>
        <w:spacing w:before="200" w:line="360" w:lineRule="auto"/>
        <w:rPr>
          <w:rFonts w:ascii="Source Code Pro" w:hAnsi="Source Code Pro"/>
          <w:color w:val="424242"/>
          <w:sz w:val="20"/>
          <w:szCs w:val="20"/>
        </w:rPr>
      </w:pPr>
    </w:p>
    <w:p w:rsidR="00466E06" w:rsidRDefault="00466E06"/>
    <w:sectPr w:rsidR="00466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Source Code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598"/>
    <w:multiLevelType w:val="multilevel"/>
    <w:tmpl w:val="070CA5B8"/>
    <w:lvl w:ilvl="0">
      <w:start w:val="6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EB50CEE"/>
    <w:multiLevelType w:val="multilevel"/>
    <w:tmpl w:val="6100B3F4"/>
    <w:lvl w:ilvl="0">
      <w:start w:val="7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EA4299C"/>
    <w:multiLevelType w:val="multilevel"/>
    <w:tmpl w:val="FEB4C6DA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1"/>
    <w:rsid w:val="00466E06"/>
    <w:rsid w:val="00865FE1"/>
    <w:rsid w:val="00E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40143-E7EA-47A5-9D0F-F1D2E07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F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F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eCAPTC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recaptcha/intro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noah</dc:creator>
  <cp:keywords/>
  <dc:description/>
  <cp:lastModifiedBy>amy noah</cp:lastModifiedBy>
  <cp:revision>2</cp:revision>
  <dcterms:created xsi:type="dcterms:W3CDTF">2017-04-13T19:53:00Z</dcterms:created>
  <dcterms:modified xsi:type="dcterms:W3CDTF">2017-04-19T15:57:00Z</dcterms:modified>
</cp:coreProperties>
</file>